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C664B" w:rsidRDefault="00AC664B" w:rsidP="00AC66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3FB2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</w:t>
      </w:r>
      <w:r>
        <w:rPr>
          <w:rFonts w:ascii="Times New Roman" w:hAnsi="Times New Roman" w:cs="Times New Roman"/>
          <w:b/>
          <w:sz w:val="24"/>
          <w:szCs w:val="24"/>
        </w:rPr>
        <w:t xml:space="preserve"> учебному предмету </w:t>
      </w:r>
      <w:r>
        <w:rPr>
          <w:rFonts w:ascii="Times New Roman" w:hAnsi="Times New Roman" w:cs="Times New Roman"/>
          <w:b/>
          <w:sz w:val="24"/>
          <w:szCs w:val="24"/>
        </w:rPr>
        <w:br/>
        <w:t>ПО.01. УП.02</w:t>
      </w:r>
      <w:r w:rsidRPr="003F3FB2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(ансамбль</w:t>
      </w:r>
      <w:r w:rsidRPr="003F3FB2">
        <w:rPr>
          <w:rFonts w:ascii="Times New Roman" w:hAnsi="Times New Roman" w:cs="Times New Roman"/>
          <w:b/>
          <w:sz w:val="24"/>
          <w:szCs w:val="24"/>
        </w:rPr>
        <w:t>)</w:t>
      </w:r>
    </w:p>
    <w:p w:rsidR="00AC664B" w:rsidRPr="00C20D2A" w:rsidRDefault="00AC664B" w:rsidP="00AC664B">
      <w:pPr>
        <w:pStyle w:val="voice"/>
        <w:shd w:val="clear" w:color="auto" w:fill="FFFFFF"/>
        <w:spacing w:before="120" w:beforeAutospacing="0" w:after="120" w:afterAutospacing="0"/>
        <w:ind w:firstLine="426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Программа предмета ПО.01.УП.02. «Ансамбль» разработана на основе и с учетом Федеральных государственных требований к дополнительным предпрофессиональным общеобразовательным программам в области музыкального искусства «</w:t>
      </w:r>
      <w:r w:rsidR="004E61F3">
        <w:rPr>
          <w:color w:val="000000"/>
          <w:sz w:val="21"/>
          <w:szCs w:val="21"/>
        </w:rPr>
        <w:t>Народные инструменты</w:t>
      </w:r>
      <w:r>
        <w:rPr>
          <w:color w:val="000000"/>
          <w:sz w:val="21"/>
          <w:szCs w:val="21"/>
        </w:rPr>
        <w:t>».</w:t>
      </w:r>
    </w:p>
    <w:p w:rsidR="00AC664B" w:rsidRDefault="00AC664B" w:rsidP="00AC664B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         Учебный предмет «Ансамбль» направлен на приобретение детьми знаний, умений и навыков игры на фортепиано, получение ими художественного образования, а также на эстетическое воспитание и художественно-нравственное развитие ребенка.</w:t>
      </w:r>
    </w:p>
    <w:p w:rsidR="00AC664B" w:rsidRDefault="00AC664B" w:rsidP="00AC664B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 xml:space="preserve">         Задача преподавателя класса гитары — </w:t>
      </w:r>
      <w:r>
        <w:rPr>
          <w:color w:val="000000"/>
          <w:sz w:val="21"/>
          <w:szCs w:val="21"/>
          <w:shd w:val="clear" w:color="auto" w:fill="FFFFFF"/>
        </w:rPr>
        <w:t>привить детям любовь к инструменту, сформировать необходимые навыки и выработать потребность в систематическом музицировании.</w:t>
      </w:r>
    </w:p>
    <w:p w:rsidR="00AC664B" w:rsidRDefault="00AC664B" w:rsidP="00AC664B">
      <w:pPr>
        <w:pStyle w:val="voice"/>
        <w:shd w:val="clear" w:color="auto" w:fill="FFFFFF"/>
        <w:spacing w:before="120" w:beforeAutospacing="0" w:after="120" w:afterAutospacing="0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         Срок освоения программы для детей, поступивших в образовательное учреждение в первый класс в возрасте с одиннадцати до тринадцати лет, составляет 4 года.</w:t>
      </w:r>
    </w:p>
    <w:p w:rsidR="00AC664B" w:rsidRDefault="00AC664B" w:rsidP="00AC664B">
      <w:pPr>
        <w:pStyle w:val="voice"/>
        <w:shd w:val="clear" w:color="auto" w:fill="FFFFFF"/>
        <w:spacing w:before="120" w:beforeAutospacing="0" w:after="120" w:afterAutospacing="0"/>
        <w:ind w:firstLine="709"/>
        <w:jc w:val="both"/>
        <w:rPr>
          <w:color w:val="000000"/>
          <w:sz w:val="21"/>
          <w:szCs w:val="21"/>
        </w:rPr>
      </w:pPr>
      <w:r w:rsidRPr="001865B2">
        <w:rPr>
          <w:color w:val="000000"/>
          <w:sz w:val="21"/>
          <w:szCs w:val="21"/>
        </w:rPr>
        <w:t>Для детей, не закончивших освоение образовательной программы основного общего образования или среднего (полного) общего образования и планирующих поступление в образовательные учреждения, реализующие основные профессиональные образовательные программы в области музыкального искусства, срок освоения может быть увеличен на один год.</w:t>
      </w:r>
    </w:p>
    <w:p w:rsidR="00AC664B" w:rsidRDefault="00AC664B" w:rsidP="00AC664B">
      <w:pPr>
        <w:pStyle w:val="voice"/>
        <w:shd w:val="clear" w:color="auto" w:fill="FFFFFF"/>
        <w:spacing w:before="120" w:after="120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         В результате освоения предмета обучающийся должен знать:</w:t>
      </w:r>
      <w:r w:rsidRPr="001865B2">
        <w:rPr>
          <w:color w:val="000000"/>
          <w:sz w:val="21"/>
          <w:szCs w:val="21"/>
        </w:rPr>
        <w:t xml:space="preserve"> основные исторические </w:t>
      </w:r>
      <w:r>
        <w:rPr>
          <w:color w:val="000000"/>
          <w:sz w:val="21"/>
          <w:szCs w:val="21"/>
        </w:rPr>
        <w:t xml:space="preserve">сведения об инструменте, </w:t>
      </w:r>
      <w:r w:rsidRPr="001865B2">
        <w:rPr>
          <w:color w:val="000000"/>
          <w:sz w:val="21"/>
          <w:szCs w:val="21"/>
        </w:rPr>
        <w:t>конструк</w:t>
      </w:r>
      <w:r>
        <w:rPr>
          <w:color w:val="000000"/>
          <w:sz w:val="21"/>
          <w:szCs w:val="21"/>
        </w:rPr>
        <w:t xml:space="preserve">тивные особенности инструмента, </w:t>
      </w:r>
      <w:r w:rsidRPr="001865B2">
        <w:rPr>
          <w:color w:val="000000"/>
          <w:sz w:val="21"/>
          <w:szCs w:val="21"/>
        </w:rPr>
        <w:t>элементарные правила по уходу за инструментом и уметь и</w:t>
      </w:r>
      <w:r>
        <w:rPr>
          <w:color w:val="000000"/>
          <w:sz w:val="21"/>
          <w:szCs w:val="21"/>
        </w:rPr>
        <w:t>х применять при необходимости, основы музыкальной грамоты,</w:t>
      </w:r>
      <w:r w:rsidRPr="001865B2">
        <w:rPr>
          <w:color w:val="000000"/>
          <w:sz w:val="21"/>
          <w:szCs w:val="21"/>
        </w:rPr>
        <w:t xml:space="preserve"> систему игровых навыков и уметь применять е</w:t>
      </w:r>
      <w:r>
        <w:rPr>
          <w:color w:val="000000"/>
          <w:sz w:val="21"/>
          <w:szCs w:val="21"/>
        </w:rPr>
        <w:t xml:space="preserve">е самостоятельно, </w:t>
      </w:r>
      <w:r w:rsidRPr="001865B2">
        <w:rPr>
          <w:color w:val="000000"/>
          <w:sz w:val="21"/>
          <w:szCs w:val="21"/>
        </w:rPr>
        <w:t>основные средства музыкальной выразительно</w:t>
      </w:r>
      <w:r>
        <w:rPr>
          <w:color w:val="000000"/>
          <w:sz w:val="21"/>
          <w:szCs w:val="21"/>
        </w:rPr>
        <w:t xml:space="preserve">сти (динамика, агогика, тембр), </w:t>
      </w:r>
      <w:r w:rsidRPr="001865B2">
        <w:rPr>
          <w:color w:val="000000"/>
          <w:sz w:val="21"/>
          <w:szCs w:val="21"/>
        </w:rPr>
        <w:t>технические и художественно-эстетические особенности, характерные для сол</w:t>
      </w:r>
      <w:r>
        <w:rPr>
          <w:color w:val="000000"/>
          <w:sz w:val="21"/>
          <w:szCs w:val="21"/>
        </w:rPr>
        <w:t>ьного исполнительства на гитаре.</w:t>
      </w:r>
    </w:p>
    <w:p w:rsidR="00AC664B" w:rsidRPr="001865B2" w:rsidRDefault="00AC664B" w:rsidP="00AC664B">
      <w:pPr>
        <w:pStyle w:val="voice"/>
        <w:shd w:val="clear" w:color="auto" w:fill="FFFFFF"/>
        <w:spacing w:before="120" w:after="120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        В результате освоения предмета обучающийся должен уметь: </w:t>
      </w:r>
      <w:r w:rsidRPr="001865B2">
        <w:rPr>
          <w:color w:val="000000"/>
          <w:sz w:val="21"/>
          <w:szCs w:val="21"/>
        </w:rPr>
        <w:t>самосто</w:t>
      </w:r>
      <w:r>
        <w:rPr>
          <w:color w:val="000000"/>
          <w:sz w:val="21"/>
          <w:szCs w:val="21"/>
        </w:rPr>
        <w:t xml:space="preserve">ятельно настраивать инструмент, </w:t>
      </w:r>
      <w:r w:rsidRPr="001865B2">
        <w:rPr>
          <w:color w:val="000000"/>
          <w:sz w:val="21"/>
          <w:szCs w:val="21"/>
        </w:rPr>
        <w:t>самостоятел</w:t>
      </w:r>
      <w:r>
        <w:rPr>
          <w:color w:val="000000"/>
          <w:sz w:val="21"/>
          <w:szCs w:val="21"/>
        </w:rPr>
        <w:t xml:space="preserve">ьно среди нескольких вариантов </w:t>
      </w:r>
      <w:r w:rsidRPr="001865B2">
        <w:rPr>
          <w:color w:val="000000"/>
          <w:sz w:val="21"/>
          <w:szCs w:val="21"/>
        </w:rPr>
        <w:t xml:space="preserve">аппликатуры выбрать </w:t>
      </w:r>
      <w:proofErr w:type="gramStart"/>
      <w:r w:rsidRPr="001865B2">
        <w:rPr>
          <w:color w:val="000000"/>
          <w:sz w:val="21"/>
          <w:szCs w:val="21"/>
        </w:rPr>
        <w:t>на</w:t>
      </w:r>
      <w:r>
        <w:rPr>
          <w:color w:val="000000"/>
          <w:sz w:val="21"/>
          <w:szCs w:val="21"/>
        </w:rPr>
        <w:t>иболее  удобную</w:t>
      </w:r>
      <w:proofErr w:type="gramEnd"/>
      <w:r>
        <w:rPr>
          <w:color w:val="000000"/>
          <w:sz w:val="21"/>
          <w:szCs w:val="21"/>
        </w:rPr>
        <w:t xml:space="preserve"> и рациональную. </w:t>
      </w:r>
      <w:r w:rsidRPr="001865B2">
        <w:rPr>
          <w:color w:val="000000"/>
          <w:sz w:val="21"/>
          <w:szCs w:val="21"/>
        </w:rPr>
        <w:t>самостоятельно, осознанно работать над произведениями, опираясь на знания законов формообразования, а также на освоенную в классе под руководством педагога методику поэтапной работы над художественным произведением;</w:t>
      </w:r>
    </w:p>
    <w:p w:rsidR="00AC664B" w:rsidRDefault="00AC664B" w:rsidP="00AC664B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         Примерная программа учебного предмета ПО.01.ПУ.02. «Специальность и чтение с листа» имеет следующую структуру:</w:t>
      </w:r>
    </w:p>
    <w:p w:rsidR="00AC664B" w:rsidRDefault="00AC664B" w:rsidP="00AC664B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I. Пояснительная записка</w:t>
      </w:r>
    </w:p>
    <w:p w:rsidR="00AC664B" w:rsidRDefault="00AC664B" w:rsidP="00AC664B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характеристика учебного предмета, его место и роль в образовательном процессе;</w:t>
      </w:r>
    </w:p>
    <w:p w:rsidR="00AC664B" w:rsidRDefault="00AC664B" w:rsidP="00AC664B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срок реализации учебного предмета;</w:t>
      </w:r>
    </w:p>
    <w:p w:rsidR="00AC664B" w:rsidRDefault="00AC664B" w:rsidP="00AC664B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объем учебного времени, предусмотренный учебным планом образовательного учреждения на реализацию учебного предмета;</w:t>
      </w:r>
    </w:p>
    <w:p w:rsidR="00AC664B" w:rsidRDefault="00AC664B" w:rsidP="00AC664B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форма проведения учебных аудиторных занятий;</w:t>
      </w:r>
    </w:p>
    <w:p w:rsidR="00AC664B" w:rsidRDefault="00AC664B" w:rsidP="00AC664B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цели и задачи учебного предмета;</w:t>
      </w:r>
    </w:p>
    <w:p w:rsidR="00AC664B" w:rsidRDefault="00AC664B" w:rsidP="00AC664B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обоснование структуры программы учебного предмета;</w:t>
      </w:r>
    </w:p>
    <w:p w:rsidR="00AC664B" w:rsidRDefault="00AC664B" w:rsidP="00AC664B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методы обучения;</w:t>
      </w:r>
    </w:p>
    <w:p w:rsidR="00AC664B" w:rsidRDefault="00AC664B" w:rsidP="00AC664B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описание материально-технических условий реализации учебного предмета.     </w:t>
      </w:r>
    </w:p>
    <w:p w:rsidR="00AC664B" w:rsidRDefault="00AC664B" w:rsidP="00AC664B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II. Содержание учебного предмета </w:t>
      </w:r>
    </w:p>
    <w:p w:rsidR="00AC664B" w:rsidRDefault="00AC664B" w:rsidP="00AC664B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сведения о затратах учебного времени;</w:t>
      </w:r>
    </w:p>
    <w:p w:rsidR="00AC664B" w:rsidRDefault="00AC664B" w:rsidP="00AC664B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учебно-тематический план;</w:t>
      </w:r>
    </w:p>
    <w:p w:rsidR="00AC664B" w:rsidRDefault="00E87567" w:rsidP="00AC664B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годовые требования.</w:t>
      </w:r>
    </w:p>
    <w:p w:rsidR="00AC664B" w:rsidRDefault="00AC664B" w:rsidP="00AC664B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III. Требования к уровню подготовки обучающихся.</w:t>
      </w:r>
    </w:p>
    <w:p w:rsidR="00E87567" w:rsidRDefault="00E87567" w:rsidP="00AC664B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Требования к уровню подготовки на различных этапах обучения.</w:t>
      </w:r>
    </w:p>
    <w:p w:rsidR="00AC664B" w:rsidRDefault="00AC664B" w:rsidP="00AC664B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lastRenderedPageBreak/>
        <w:t>IV. Формы и методы контроля, система оценок</w:t>
      </w:r>
    </w:p>
    <w:p w:rsidR="00AC664B" w:rsidRDefault="00AC664B" w:rsidP="00AC664B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аттестация: цели, виды, содержание;</w:t>
      </w:r>
    </w:p>
    <w:p w:rsidR="00AC664B" w:rsidRDefault="00AC664B" w:rsidP="00AC664B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критерии оценки.</w:t>
      </w:r>
    </w:p>
    <w:p w:rsidR="00AC664B" w:rsidRDefault="00AC664B" w:rsidP="00AC664B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V. Методическое обеспечение учебного процесса</w:t>
      </w:r>
    </w:p>
    <w:p w:rsidR="00AC664B" w:rsidRPr="001865B2" w:rsidRDefault="00AC664B" w:rsidP="00AC664B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VI. Списки рекомендуемой нотной и методической литературы</w:t>
      </w:r>
    </w:p>
    <w:p w:rsidR="00AC664B" w:rsidRDefault="00AC664B" w:rsidP="00AC664B"/>
    <w:p w:rsidR="00EF3D3B" w:rsidRDefault="00EF3D3B"/>
    <w:sectPr w:rsidR="00EF3D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2C6"/>
    <w:rsid w:val="004E61F3"/>
    <w:rsid w:val="009F42C6"/>
    <w:rsid w:val="00AC664B"/>
    <w:rsid w:val="00E87567"/>
    <w:rsid w:val="00EF3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AA0A7"/>
  <w15:chartTrackingRefBased/>
  <w15:docId w15:val="{48B8D49C-F343-40E1-8D58-159BF6B3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66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oice">
    <w:name w:val="voice"/>
    <w:basedOn w:val="a"/>
    <w:rsid w:val="00AC66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478</Words>
  <Characters>2727</Characters>
  <Application>Microsoft Office Word</Application>
  <DocSecurity>0</DocSecurity>
  <Lines>22</Lines>
  <Paragraphs>6</Paragraphs>
  <ScaleCrop>false</ScaleCrop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</dc:creator>
  <cp:keywords/>
  <dc:description/>
  <cp:lastModifiedBy>Диана Лучер</cp:lastModifiedBy>
  <cp:revision>4</cp:revision>
  <dcterms:created xsi:type="dcterms:W3CDTF">2022-03-07T07:13:00Z</dcterms:created>
  <dcterms:modified xsi:type="dcterms:W3CDTF">2022-12-05T04:46:00Z</dcterms:modified>
</cp:coreProperties>
</file>